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Стандартизация программных средств и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программных средств и информационных технологий»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«Стандартизация программных средств и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«Стандартизация программных средств и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4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проектирования баз данных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«Стандартизация программных средств и информационных технологий»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технического нормирования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Схемы алгоритмов, программ данных и систем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качества программных средств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стандарты МЭК в области общей информационной модели. Язык UMСовременные стандарты МЭК в области общей информационной модели.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Даграммы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62.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технического нормирования, стандартизации и сертификации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стандартизации. Основные термины в области технического нормирования и стандартизации. Цели и принципы технического нормирования и стан- дартизации. Уровни стандартизации. Виды технических правовых актов. Информацион- ное обеспечение работ по стандартизации.</w:t>
            </w:r>
          </w:p>
          <w:p>
            <w:pPr>
              <w:jc w:val="both"/>
              <w:spacing w:after="0" w:line="240" w:lineRule="auto"/>
              <w:rPr>
                <w:sz w:val="24"/>
                <w:szCs w:val="24"/>
              </w:rPr>
            </w:pPr>
            <w:r>
              <w:rPr>
                <w:rFonts w:ascii="Times New Roman" w:hAnsi="Times New Roman" w:cs="Times New Roman"/>
                <w:color w:val="#000000"/>
                <w:sz w:val="24"/>
                <w:szCs w:val="24"/>
              </w:rPr>
              <w:t> Сертификация программных средств. Основные документы нормативно-правовой базы сертификации.  Сертификация программных средств. Основные термины и опреде-ления. Оценка соответствия. Подтверждение соответствия. Проведение сертификации программных средств.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Схемы алгоритмов, программ данных и систем (круглый стол)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Схемы алгоритмов, программ, данных и систем (далее - схемы) состоят из имеющих заданное значение символов, краткого пояснительного текста и соеди-няющих линий.</w:t>
            </w:r>
          </w:p>
          <w:p>
            <w:pPr>
              <w:jc w:val="both"/>
              <w:spacing w:after="0" w:line="240" w:lineRule="auto"/>
              <w:rPr>
                <w:sz w:val="24"/>
                <w:szCs w:val="24"/>
              </w:rPr>
            </w:pPr>
            <w:r>
              <w:rPr>
                <w:rFonts w:ascii="Times New Roman" w:hAnsi="Times New Roman" w:cs="Times New Roman"/>
                <w:color w:val="#000000"/>
                <w:sz w:val="24"/>
                <w:szCs w:val="24"/>
              </w:rPr>
              <w:t> 1.2. Схемы могут использоваться на различных уровнях детализации, причем число уровней зависит от размеров и сложности задачи обработки данных. Уровень детализации должен быть таким, чтобы различные части и взаимосвязь между ними были понятны в целом.</w:t>
            </w:r>
          </w:p>
          <w:p>
            <w:pPr>
              <w:jc w:val="both"/>
              <w:spacing w:after="0" w:line="240" w:lineRule="auto"/>
              <w:rPr>
                <w:sz w:val="24"/>
                <w:szCs w:val="24"/>
              </w:rPr>
            </w:pPr>
            <w:r>
              <w:rPr>
                <w:rFonts w:ascii="Times New Roman" w:hAnsi="Times New Roman" w:cs="Times New Roman"/>
                <w:color w:val="#000000"/>
                <w:sz w:val="24"/>
                <w:szCs w:val="24"/>
              </w:rPr>
              <w:t> 1.3. В настоящем стандарте определены символы, предназначенные для использования в документации по обработке данных, и приведено руководство по условным обозначениям для применения их в:</w:t>
            </w:r>
          </w:p>
          <w:p>
            <w:pPr>
              <w:jc w:val="both"/>
              <w:spacing w:after="0" w:line="240" w:lineRule="auto"/>
              <w:rPr>
                <w:sz w:val="24"/>
                <w:szCs w:val="24"/>
              </w:rPr>
            </w:pPr>
            <w:r>
              <w:rPr>
                <w:rFonts w:ascii="Times New Roman" w:hAnsi="Times New Roman" w:cs="Times New Roman"/>
                <w:color w:val="#000000"/>
                <w:sz w:val="24"/>
                <w:szCs w:val="24"/>
              </w:rPr>
              <w:t> 1) схемах данных;</w:t>
            </w:r>
          </w:p>
          <w:p>
            <w:pPr>
              <w:jc w:val="both"/>
              <w:spacing w:after="0" w:line="240" w:lineRule="auto"/>
              <w:rPr>
                <w:sz w:val="24"/>
                <w:szCs w:val="24"/>
              </w:rPr>
            </w:pPr>
            <w:r>
              <w:rPr>
                <w:rFonts w:ascii="Times New Roman" w:hAnsi="Times New Roman" w:cs="Times New Roman"/>
                <w:color w:val="#000000"/>
                <w:sz w:val="24"/>
                <w:szCs w:val="24"/>
              </w:rPr>
              <w:t> 2) схемах программ;</w:t>
            </w:r>
          </w:p>
          <w:p>
            <w:pPr>
              <w:jc w:val="both"/>
              <w:spacing w:after="0" w:line="240" w:lineRule="auto"/>
              <w:rPr>
                <w:sz w:val="24"/>
                <w:szCs w:val="24"/>
              </w:rPr>
            </w:pPr>
            <w:r>
              <w:rPr>
                <w:rFonts w:ascii="Times New Roman" w:hAnsi="Times New Roman" w:cs="Times New Roman"/>
                <w:color w:val="#000000"/>
                <w:sz w:val="24"/>
                <w:szCs w:val="24"/>
              </w:rPr>
              <w:t> 3) схемах работы системы;</w:t>
            </w:r>
          </w:p>
          <w:p>
            <w:pPr>
              <w:jc w:val="both"/>
              <w:spacing w:after="0" w:line="240" w:lineRule="auto"/>
              <w:rPr>
                <w:sz w:val="24"/>
                <w:szCs w:val="24"/>
              </w:rPr>
            </w:pPr>
            <w:r>
              <w:rPr>
                <w:rFonts w:ascii="Times New Roman" w:hAnsi="Times New Roman" w:cs="Times New Roman"/>
                <w:color w:val="#000000"/>
                <w:sz w:val="24"/>
                <w:szCs w:val="24"/>
              </w:rPr>
              <w:t> 4) схемах взаимодействия программ;</w:t>
            </w:r>
          </w:p>
          <w:p>
            <w:pPr>
              <w:jc w:val="both"/>
              <w:spacing w:after="0" w:line="240" w:lineRule="auto"/>
              <w:rPr>
                <w:sz w:val="24"/>
                <w:szCs w:val="24"/>
              </w:rPr>
            </w:pPr>
            <w:r>
              <w:rPr>
                <w:rFonts w:ascii="Times New Roman" w:hAnsi="Times New Roman" w:cs="Times New Roman"/>
                <w:color w:val="#000000"/>
                <w:sz w:val="24"/>
                <w:szCs w:val="24"/>
              </w:rPr>
              <w:t> 5) схемах ресурсов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качества программных средств (круглый стол)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ISO/IEC 9126:1991 – Информационная технология – Оценка программного продукта – Характеристики качества и руководства по их применению</w:t>
            </w:r>
          </w:p>
          <w:p>
            <w:pPr>
              <w:jc w:val="both"/>
              <w:spacing w:after="0" w:line="240" w:lineRule="auto"/>
              <w:rPr>
                <w:sz w:val="24"/>
                <w:szCs w:val="24"/>
              </w:rPr>
            </w:pPr>
            <w:r>
              <w:rPr>
                <w:rFonts w:ascii="Times New Roman" w:hAnsi="Times New Roman" w:cs="Times New Roman"/>
                <w:color w:val="#000000"/>
                <w:sz w:val="24"/>
                <w:szCs w:val="24"/>
              </w:rPr>
              <w:t> В настоящее время стандарт ISO/IEC 9126:1991 заменен на две взаимосвязанные серии стандартов: ISO/IEC 9126–1–4 и ISO/IEC 14598–1–6</w:t>
            </w:r>
          </w:p>
          <w:p>
            <w:pPr>
              <w:jc w:val="both"/>
              <w:spacing w:after="0" w:line="240" w:lineRule="auto"/>
              <w:rPr>
                <w:sz w:val="24"/>
                <w:szCs w:val="24"/>
              </w:rPr>
            </w:pPr>
            <w:r>
              <w:rPr>
                <w:rFonts w:ascii="Times New Roman" w:hAnsi="Times New Roman" w:cs="Times New Roman"/>
                <w:color w:val="#000000"/>
                <w:sz w:val="24"/>
                <w:szCs w:val="24"/>
              </w:rPr>
              <w:t> Стандарт ISO/IEC 9126–1–4 регламентирует иерархическую модель качества программных средств. На верхнем уровне модели находятся характеристики. Характеристики разделяются на подхарактеристики. Подхарактеристики определяются метриками. Метрики измеряют атрибуты (свойства) ПС.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Даграммы UML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Диагаммы прецедентов, классов, состояний, взаимодйствия, компонентов и размещения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«Стандартизация программных средств и информационных технологий»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https://urait.ru/bcode/423364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2023-2024_ФГОС3++2023_Бак-ЗФО-ПИ(23)_plx_Стандартизация программных средств и информационных технологий</dc:title>
  <dc:creator>FastReport.NET</dc:creator>
</cp:coreProperties>
</file>